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EF" w:rsidRDefault="009572EF" w:rsidP="009572EF">
      <w:pPr>
        <w:shd w:val="clear" w:color="auto" w:fill="FFFFFF"/>
        <w:jc w:val="center"/>
        <w:rPr>
          <w:rStyle w:val="a4"/>
          <w:lang w:val="uz-Cyrl-UZ"/>
        </w:rPr>
      </w:pPr>
      <w:r w:rsidRPr="00310A9F">
        <w:rPr>
          <w:rStyle w:val="a4"/>
          <w:lang w:val="uz-Cyrl-UZ"/>
        </w:rPr>
        <w:t>Texnikumlarni muvaffaqiyatli tamomlagan bitiruvchilarni Universitet</w:t>
      </w:r>
      <w:proofErr w:type="spellStart"/>
      <w:r w:rsidRPr="00310A9F">
        <w:rPr>
          <w:rStyle w:val="a4"/>
          <w:lang w:val="en-US"/>
        </w:rPr>
        <w:t>ga</w:t>
      </w:r>
      <w:proofErr w:type="spellEnd"/>
      <w:r w:rsidRPr="00310A9F">
        <w:rPr>
          <w:rStyle w:val="a4"/>
          <w:lang w:val="uz-Cyrl-UZ"/>
        </w:rPr>
        <w:t xml:space="preserve"> suhbat asosida </w:t>
      </w:r>
    </w:p>
    <w:p w:rsidR="009572EF" w:rsidRPr="00310A9F" w:rsidRDefault="009572EF" w:rsidP="009572EF">
      <w:pPr>
        <w:shd w:val="clear" w:color="auto" w:fill="FFFFFF"/>
        <w:jc w:val="center"/>
        <w:rPr>
          <w:rStyle w:val="a4"/>
          <w:lang w:val="en-US"/>
        </w:rPr>
      </w:pPr>
      <w:r w:rsidRPr="00310A9F">
        <w:rPr>
          <w:rStyle w:val="a4"/>
          <w:lang w:val="uz-Cyrl-UZ"/>
        </w:rPr>
        <w:t>2-bosqichdan qabul qilish bo‘yicha</w:t>
      </w:r>
      <w:r w:rsidRPr="00310A9F">
        <w:rPr>
          <w:rStyle w:val="a4"/>
          <w:lang w:val="en-US"/>
        </w:rPr>
        <w:t xml:space="preserve"> </w:t>
      </w:r>
    </w:p>
    <w:p w:rsidR="009572EF" w:rsidRPr="00310A9F" w:rsidRDefault="009572EF" w:rsidP="009572EF">
      <w:pPr>
        <w:shd w:val="clear" w:color="auto" w:fill="FFFFFF"/>
        <w:jc w:val="center"/>
        <w:rPr>
          <w:rStyle w:val="a4"/>
          <w:lang w:val="en-US"/>
        </w:rPr>
      </w:pPr>
      <w:r w:rsidRPr="00310A9F">
        <w:rPr>
          <w:rStyle w:val="a4"/>
          <w:lang w:val="en-US"/>
        </w:rPr>
        <w:t>BAHOLASH MEZON</w:t>
      </w:r>
      <w:r>
        <w:rPr>
          <w:rStyle w:val="a4"/>
          <w:lang w:val="en-US"/>
        </w:rPr>
        <w:t>LAR</w:t>
      </w:r>
      <w:r w:rsidRPr="00310A9F">
        <w:rPr>
          <w:rStyle w:val="a4"/>
          <w:lang w:val="en-US"/>
        </w:rPr>
        <w:t>I</w:t>
      </w:r>
    </w:p>
    <w:p w:rsidR="009572EF" w:rsidRPr="00310A9F" w:rsidRDefault="009572EF" w:rsidP="009572EF">
      <w:pPr>
        <w:shd w:val="clear" w:color="auto" w:fill="FFFFFF"/>
        <w:jc w:val="center"/>
        <w:rPr>
          <w:rStyle w:val="a4"/>
          <w:lang w:val="en-US"/>
        </w:rPr>
      </w:pPr>
    </w:p>
    <w:p w:rsidR="009572EF" w:rsidRPr="00310A9F" w:rsidRDefault="009572EF" w:rsidP="009572EF">
      <w:pPr>
        <w:ind w:firstLine="708"/>
        <w:jc w:val="both"/>
        <w:rPr>
          <w:lang w:val="uz-Cyrl-UZ"/>
        </w:rPr>
      </w:pPr>
      <w:proofErr w:type="spellStart"/>
      <w:r w:rsidRPr="00310A9F">
        <w:rPr>
          <w:lang w:val="en-US"/>
        </w:rPr>
        <w:t>Talabgorga</w:t>
      </w:r>
      <w:proofErr w:type="spellEnd"/>
      <w:r w:rsidRPr="00310A9F">
        <w:rPr>
          <w:lang w:val="en-US"/>
        </w:rPr>
        <w:t xml:space="preserve"> </w:t>
      </w:r>
      <w:proofErr w:type="spellStart"/>
      <w:r w:rsidRPr="00310A9F">
        <w:rPr>
          <w:lang w:val="en-US"/>
        </w:rPr>
        <w:t>quyidagi</w:t>
      </w:r>
      <w:proofErr w:type="spellEnd"/>
      <w:r w:rsidRPr="00310A9F">
        <w:rPr>
          <w:lang w:val="en-US"/>
        </w:rPr>
        <w:t xml:space="preserve"> </w:t>
      </w:r>
      <w:proofErr w:type="spellStart"/>
      <w:r w:rsidRPr="00310A9F">
        <w:rPr>
          <w:lang w:val="en-US"/>
        </w:rPr>
        <w:t>mavzular</w:t>
      </w:r>
      <w:proofErr w:type="spellEnd"/>
      <w:r w:rsidRPr="00310A9F">
        <w:rPr>
          <w:lang w:val="en-US"/>
        </w:rPr>
        <w:t xml:space="preserve"> </w:t>
      </w:r>
      <w:proofErr w:type="spellStart"/>
      <w:proofErr w:type="gramStart"/>
      <w:r w:rsidRPr="00310A9F">
        <w:rPr>
          <w:lang w:val="en-US"/>
        </w:rPr>
        <w:t>bo‘</w:t>
      </w:r>
      <w:proofErr w:type="gramEnd"/>
      <w:r w:rsidRPr="00310A9F">
        <w:rPr>
          <w:lang w:val="en-US"/>
        </w:rPr>
        <w:t>yicha</w:t>
      </w:r>
      <w:proofErr w:type="spellEnd"/>
      <w:r w:rsidRPr="00310A9F">
        <w:rPr>
          <w:lang w:val="en-US"/>
        </w:rPr>
        <w:t xml:space="preserve"> </w:t>
      </w:r>
      <w:r w:rsidRPr="00310A9F">
        <w:rPr>
          <w:lang w:val="uz-Cyrl-UZ"/>
        </w:rPr>
        <w:t xml:space="preserve">bittadan </w:t>
      </w:r>
      <w:proofErr w:type="spellStart"/>
      <w:r w:rsidRPr="00310A9F">
        <w:rPr>
          <w:lang w:val="en-US"/>
        </w:rPr>
        <w:t>savol</w:t>
      </w:r>
      <w:proofErr w:type="spellEnd"/>
      <w:r w:rsidRPr="00310A9F">
        <w:rPr>
          <w:lang w:val="en-US"/>
        </w:rPr>
        <w:t xml:space="preserve"> </w:t>
      </w:r>
      <w:proofErr w:type="spellStart"/>
      <w:r w:rsidRPr="00310A9F">
        <w:rPr>
          <w:lang w:val="en-US"/>
        </w:rPr>
        <w:t>beriladi</w:t>
      </w:r>
      <w:proofErr w:type="spellEnd"/>
      <w:r w:rsidRPr="00310A9F">
        <w:rPr>
          <w:lang w:val="en-US"/>
        </w:rPr>
        <w:t xml:space="preserve"> </w:t>
      </w:r>
      <w:proofErr w:type="spellStart"/>
      <w:r w:rsidRPr="00310A9F">
        <w:rPr>
          <w:lang w:val="en-US"/>
        </w:rPr>
        <w:t>va</w:t>
      </w:r>
      <w:proofErr w:type="spellEnd"/>
      <w:r w:rsidRPr="00310A9F">
        <w:rPr>
          <w:lang w:val="en-US"/>
        </w:rPr>
        <w:t xml:space="preserve"> </w:t>
      </w:r>
      <w:r w:rsidRPr="00310A9F">
        <w:rPr>
          <w:lang w:val="uz-Cyrl-UZ"/>
        </w:rPr>
        <w:t>har bir mavzu bo‘yicha 25 balgacha baholanadi. Umumiy maksimal bal 100 balni tashkil etadi. 67 va undan yuqori ball to‘plagan talabgorlar suhbatdan o‘tgan hisoblanadi.</w:t>
      </w:r>
    </w:p>
    <w:p w:rsidR="009572EF" w:rsidRPr="00310A9F" w:rsidRDefault="009572EF" w:rsidP="009572EF">
      <w:pPr>
        <w:rPr>
          <w:lang w:val="uz-Cyrl-UZ"/>
        </w:rPr>
      </w:pPr>
    </w:p>
    <w:tbl>
      <w:tblPr>
        <w:tblStyle w:val="a3"/>
        <w:tblW w:w="0" w:type="auto"/>
        <w:tblLook w:val="04A0" w:firstRow="1" w:lastRow="0" w:firstColumn="1" w:lastColumn="0" w:noHBand="0" w:noVBand="1"/>
      </w:tblPr>
      <w:tblGrid>
        <w:gridCol w:w="533"/>
        <w:gridCol w:w="7569"/>
        <w:gridCol w:w="1243"/>
      </w:tblGrid>
      <w:tr w:rsidR="009572EF" w:rsidRPr="00310A9F" w:rsidTr="00987073">
        <w:tc>
          <w:tcPr>
            <w:tcW w:w="534" w:type="dxa"/>
            <w:vAlign w:val="center"/>
          </w:tcPr>
          <w:p w:rsidR="009572EF" w:rsidRPr="00310A9F" w:rsidRDefault="009572EF" w:rsidP="00987073">
            <w:pPr>
              <w:jc w:val="center"/>
              <w:rPr>
                <w:b/>
                <w:lang w:val="en-US"/>
              </w:rPr>
            </w:pPr>
            <w:r w:rsidRPr="00310A9F">
              <w:rPr>
                <w:b/>
                <w:lang w:val="uz-Cyrl-UZ"/>
              </w:rPr>
              <w:t>№</w:t>
            </w:r>
          </w:p>
        </w:tc>
        <w:tc>
          <w:tcPr>
            <w:tcW w:w="7654" w:type="dxa"/>
            <w:vAlign w:val="center"/>
          </w:tcPr>
          <w:p w:rsidR="009572EF" w:rsidRPr="00310A9F" w:rsidRDefault="009572EF" w:rsidP="00987073">
            <w:pPr>
              <w:jc w:val="center"/>
              <w:rPr>
                <w:b/>
                <w:lang w:val="en-US"/>
              </w:rPr>
            </w:pPr>
            <w:r w:rsidRPr="00310A9F">
              <w:rPr>
                <w:b/>
                <w:lang w:val="en-US"/>
              </w:rPr>
              <w:t>MAVZULAR</w:t>
            </w:r>
          </w:p>
        </w:tc>
        <w:tc>
          <w:tcPr>
            <w:tcW w:w="1176" w:type="dxa"/>
            <w:vAlign w:val="center"/>
          </w:tcPr>
          <w:p w:rsidR="009572EF" w:rsidRPr="00310A9F" w:rsidRDefault="009572EF" w:rsidP="00987073">
            <w:pPr>
              <w:jc w:val="center"/>
              <w:rPr>
                <w:b/>
                <w:lang w:val="en-US"/>
              </w:rPr>
            </w:pPr>
            <w:proofErr w:type="spellStart"/>
            <w:r w:rsidRPr="00310A9F">
              <w:rPr>
                <w:b/>
                <w:lang w:val="en-US"/>
              </w:rPr>
              <w:t>Maksimal</w:t>
            </w:r>
            <w:proofErr w:type="spellEnd"/>
            <w:r w:rsidRPr="00310A9F">
              <w:rPr>
                <w:b/>
                <w:lang w:val="en-US"/>
              </w:rPr>
              <w:t xml:space="preserve"> ball</w:t>
            </w:r>
          </w:p>
        </w:tc>
      </w:tr>
      <w:tr w:rsidR="009572EF" w:rsidRPr="00310A9F" w:rsidTr="00987073">
        <w:tc>
          <w:tcPr>
            <w:tcW w:w="534" w:type="dxa"/>
            <w:vAlign w:val="center"/>
          </w:tcPr>
          <w:p w:rsidR="009572EF" w:rsidRPr="00310A9F" w:rsidRDefault="009572EF" w:rsidP="00987073">
            <w:pPr>
              <w:jc w:val="center"/>
              <w:rPr>
                <w:lang w:val="uz-Cyrl-UZ"/>
              </w:rPr>
            </w:pPr>
            <w:r w:rsidRPr="00310A9F">
              <w:rPr>
                <w:lang w:val="uz-Cyrl-UZ"/>
              </w:rPr>
              <w:t>1</w:t>
            </w:r>
          </w:p>
        </w:tc>
        <w:tc>
          <w:tcPr>
            <w:tcW w:w="7654" w:type="dxa"/>
          </w:tcPr>
          <w:p w:rsidR="009572EF" w:rsidRPr="00310A9F" w:rsidRDefault="009572EF" w:rsidP="00987073">
            <w:pPr>
              <w:shd w:val="clear" w:color="auto" w:fill="FFFFFF"/>
              <w:jc w:val="both"/>
              <w:rPr>
                <w:lang w:val="uz-Cyrl-UZ"/>
              </w:rPr>
            </w:pPr>
            <w:r w:rsidRPr="00310A9F">
              <w:rPr>
                <w:lang w:val="uz-Cyrl-UZ"/>
              </w:rPr>
              <w:t>Mamlakatda o‘z sohasiga oid amalga oshirilayotgan islohotlarning mohiyati va ahamiyatini tushunish bo‘yicha:</w:t>
            </w:r>
          </w:p>
        </w:tc>
        <w:tc>
          <w:tcPr>
            <w:tcW w:w="1176" w:type="dxa"/>
            <w:vAlign w:val="center"/>
          </w:tcPr>
          <w:p w:rsidR="009572EF" w:rsidRPr="00310A9F" w:rsidRDefault="009572EF" w:rsidP="00987073">
            <w:pPr>
              <w:jc w:val="center"/>
              <w:rPr>
                <w:lang w:val="en-US"/>
              </w:rPr>
            </w:pPr>
            <w:r w:rsidRPr="00310A9F">
              <w:rPr>
                <w:lang w:val="en-US"/>
              </w:rPr>
              <w:t>25</w:t>
            </w:r>
          </w:p>
        </w:tc>
      </w:tr>
      <w:tr w:rsidR="009572EF" w:rsidRPr="00310A9F" w:rsidTr="00987073">
        <w:tc>
          <w:tcPr>
            <w:tcW w:w="534" w:type="dxa"/>
            <w:vAlign w:val="center"/>
          </w:tcPr>
          <w:p w:rsidR="009572EF" w:rsidRPr="00310A9F" w:rsidRDefault="009572EF" w:rsidP="00987073">
            <w:pPr>
              <w:jc w:val="center"/>
              <w:rPr>
                <w:lang w:val="uz-Cyrl-UZ"/>
              </w:rPr>
            </w:pPr>
            <w:r w:rsidRPr="00310A9F">
              <w:rPr>
                <w:lang w:val="uz-Cyrl-UZ"/>
              </w:rPr>
              <w:t>2</w:t>
            </w:r>
          </w:p>
        </w:tc>
        <w:tc>
          <w:tcPr>
            <w:tcW w:w="7654" w:type="dxa"/>
          </w:tcPr>
          <w:p w:rsidR="009572EF" w:rsidRPr="00310A9F" w:rsidRDefault="009572EF" w:rsidP="00987073">
            <w:pPr>
              <w:shd w:val="clear" w:color="auto" w:fill="FFFFFF"/>
              <w:jc w:val="both"/>
              <w:rPr>
                <w:lang w:val="uz-Cyrl-UZ"/>
              </w:rPr>
            </w:pPr>
            <w:r w:rsidRPr="00310A9F">
              <w:rPr>
                <w:lang w:val="uz-Cyrl-UZ"/>
              </w:rPr>
              <w:t xml:space="preserve">Bakalavriat ta’lim yo‘nalishini tanlashda motivatsiya (soha kasbining mohiyati va ijtimoiy ahamiyatini tushunish, unga doimiy qiziqish ko‘rsatish) bo‘yicha: </w:t>
            </w:r>
          </w:p>
        </w:tc>
        <w:tc>
          <w:tcPr>
            <w:tcW w:w="1176" w:type="dxa"/>
            <w:vAlign w:val="center"/>
          </w:tcPr>
          <w:p w:rsidR="009572EF" w:rsidRPr="00310A9F" w:rsidRDefault="009572EF" w:rsidP="00987073">
            <w:pPr>
              <w:jc w:val="center"/>
              <w:rPr>
                <w:lang w:val="en-US"/>
              </w:rPr>
            </w:pPr>
            <w:r w:rsidRPr="00310A9F">
              <w:rPr>
                <w:lang w:val="en-US"/>
              </w:rPr>
              <w:t>25</w:t>
            </w:r>
          </w:p>
        </w:tc>
      </w:tr>
      <w:tr w:rsidR="009572EF" w:rsidRPr="00310A9F" w:rsidTr="00987073">
        <w:tc>
          <w:tcPr>
            <w:tcW w:w="534" w:type="dxa"/>
            <w:vAlign w:val="center"/>
          </w:tcPr>
          <w:p w:rsidR="009572EF" w:rsidRPr="00310A9F" w:rsidRDefault="009572EF" w:rsidP="00987073">
            <w:pPr>
              <w:jc w:val="center"/>
              <w:rPr>
                <w:lang w:val="uz-Cyrl-UZ"/>
              </w:rPr>
            </w:pPr>
            <w:r w:rsidRPr="00310A9F">
              <w:rPr>
                <w:lang w:val="uz-Cyrl-UZ"/>
              </w:rPr>
              <w:t>3</w:t>
            </w:r>
          </w:p>
        </w:tc>
        <w:tc>
          <w:tcPr>
            <w:tcW w:w="7654" w:type="dxa"/>
          </w:tcPr>
          <w:p w:rsidR="009572EF" w:rsidRPr="00310A9F" w:rsidRDefault="009572EF" w:rsidP="00987073">
            <w:pPr>
              <w:jc w:val="both"/>
              <w:rPr>
                <w:lang w:val="uz-Cyrl-UZ"/>
              </w:rPr>
            </w:pPr>
            <w:r w:rsidRPr="00310A9F">
              <w:rPr>
                <w:lang w:val="uz-Cyrl-UZ"/>
              </w:rPr>
              <w:t>Shaxsiy-kasbiy xususiyatlar (o‘qishga qobiliyat, kasbiy vazifalarni hal qilishda amaliy faoliyat, intizomlilik, hamjihatlik, mas’uliyatlilik, qaror qabul qilishda mustaqillik darajasi, shaxsiy yutuqlar mavjudligi, shuningdek, o‘z ustida ishlash va ijodkorlik qobiliyatlari) bo‘yicha:</w:t>
            </w:r>
          </w:p>
        </w:tc>
        <w:tc>
          <w:tcPr>
            <w:tcW w:w="1176" w:type="dxa"/>
            <w:vAlign w:val="center"/>
          </w:tcPr>
          <w:p w:rsidR="009572EF" w:rsidRPr="00310A9F" w:rsidRDefault="009572EF" w:rsidP="00987073">
            <w:pPr>
              <w:jc w:val="center"/>
              <w:rPr>
                <w:lang w:val="en-US"/>
              </w:rPr>
            </w:pPr>
            <w:r w:rsidRPr="00310A9F">
              <w:rPr>
                <w:lang w:val="en-US"/>
              </w:rPr>
              <w:t>25</w:t>
            </w:r>
          </w:p>
        </w:tc>
      </w:tr>
      <w:tr w:rsidR="009572EF" w:rsidRPr="00310A9F" w:rsidTr="00987073">
        <w:tc>
          <w:tcPr>
            <w:tcW w:w="534" w:type="dxa"/>
            <w:vAlign w:val="center"/>
          </w:tcPr>
          <w:p w:rsidR="009572EF" w:rsidRPr="00310A9F" w:rsidRDefault="009572EF" w:rsidP="00987073">
            <w:pPr>
              <w:jc w:val="center"/>
              <w:rPr>
                <w:lang w:val="uz-Cyrl-UZ"/>
              </w:rPr>
            </w:pPr>
            <w:r w:rsidRPr="00310A9F">
              <w:rPr>
                <w:lang w:val="uz-Cyrl-UZ"/>
              </w:rPr>
              <w:t>4</w:t>
            </w:r>
          </w:p>
        </w:tc>
        <w:tc>
          <w:tcPr>
            <w:tcW w:w="7654" w:type="dxa"/>
          </w:tcPr>
          <w:p w:rsidR="009572EF" w:rsidRPr="00310A9F" w:rsidRDefault="009572EF" w:rsidP="00987073">
            <w:pPr>
              <w:jc w:val="both"/>
              <w:rPr>
                <w:lang w:val="uz-Cyrl-UZ"/>
              </w:rPr>
            </w:pPr>
            <w:r w:rsidRPr="00310A9F">
              <w:rPr>
                <w:lang w:val="uz-Cyrl-UZ"/>
              </w:rPr>
              <w:t>Tanlangan bakalavriat ta’lim yo‘nalishi sohasidagi bilim va kasbiy ko‘nikmalarning mavjudligi bo‘yicha:</w:t>
            </w:r>
          </w:p>
        </w:tc>
        <w:tc>
          <w:tcPr>
            <w:tcW w:w="1176" w:type="dxa"/>
            <w:vAlign w:val="center"/>
          </w:tcPr>
          <w:p w:rsidR="009572EF" w:rsidRPr="00310A9F" w:rsidRDefault="009572EF" w:rsidP="00987073">
            <w:pPr>
              <w:jc w:val="center"/>
              <w:rPr>
                <w:lang w:val="en-US"/>
              </w:rPr>
            </w:pPr>
            <w:r w:rsidRPr="00310A9F">
              <w:rPr>
                <w:lang w:val="en-US"/>
              </w:rPr>
              <w:t>25</w:t>
            </w:r>
          </w:p>
        </w:tc>
      </w:tr>
      <w:tr w:rsidR="009572EF" w:rsidRPr="00310A9F" w:rsidTr="00987073">
        <w:tc>
          <w:tcPr>
            <w:tcW w:w="534" w:type="dxa"/>
            <w:vAlign w:val="center"/>
          </w:tcPr>
          <w:p w:rsidR="009572EF" w:rsidRPr="00310A9F" w:rsidRDefault="009572EF" w:rsidP="00987073">
            <w:pPr>
              <w:jc w:val="center"/>
              <w:rPr>
                <w:lang w:val="uz-Cyrl-UZ"/>
              </w:rPr>
            </w:pPr>
          </w:p>
        </w:tc>
        <w:tc>
          <w:tcPr>
            <w:tcW w:w="7654" w:type="dxa"/>
          </w:tcPr>
          <w:p w:rsidR="009572EF" w:rsidRPr="00310A9F" w:rsidRDefault="009572EF" w:rsidP="00987073">
            <w:pPr>
              <w:jc w:val="center"/>
              <w:rPr>
                <w:b/>
                <w:lang w:val="uz-Cyrl-UZ"/>
              </w:rPr>
            </w:pPr>
            <w:r w:rsidRPr="00310A9F">
              <w:rPr>
                <w:b/>
                <w:lang w:val="en-US"/>
              </w:rPr>
              <w:t>JAMI</w:t>
            </w:r>
            <w:r w:rsidRPr="00310A9F">
              <w:rPr>
                <w:b/>
                <w:lang w:val="uz-Cyrl-UZ"/>
              </w:rPr>
              <w:t>:</w:t>
            </w:r>
          </w:p>
        </w:tc>
        <w:tc>
          <w:tcPr>
            <w:tcW w:w="1176" w:type="dxa"/>
            <w:vAlign w:val="center"/>
          </w:tcPr>
          <w:p w:rsidR="009572EF" w:rsidRPr="00310A9F" w:rsidRDefault="009572EF" w:rsidP="00987073">
            <w:pPr>
              <w:jc w:val="center"/>
              <w:rPr>
                <w:b/>
                <w:lang w:val="en-US"/>
              </w:rPr>
            </w:pPr>
            <w:r w:rsidRPr="00310A9F">
              <w:rPr>
                <w:b/>
                <w:lang w:val="en-US"/>
              </w:rPr>
              <w:t>100</w:t>
            </w:r>
          </w:p>
        </w:tc>
      </w:tr>
    </w:tbl>
    <w:p w:rsidR="009572EF" w:rsidRPr="00310A9F" w:rsidRDefault="009572EF" w:rsidP="009572EF">
      <w:pPr>
        <w:spacing w:before="240"/>
        <w:jc w:val="center"/>
        <w:rPr>
          <w:b/>
          <w:lang w:val="en-US"/>
        </w:rPr>
      </w:pPr>
      <w:proofErr w:type="spellStart"/>
      <w:r w:rsidRPr="00310A9F">
        <w:rPr>
          <w:b/>
          <w:lang w:val="en-US"/>
        </w:rPr>
        <w:t>Berilgan</w:t>
      </w:r>
      <w:proofErr w:type="spellEnd"/>
      <w:r w:rsidRPr="00310A9F">
        <w:rPr>
          <w:b/>
          <w:lang w:val="en-US"/>
        </w:rPr>
        <w:t xml:space="preserve"> </w:t>
      </w:r>
      <w:proofErr w:type="spellStart"/>
      <w:r w:rsidRPr="00310A9F">
        <w:rPr>
          <w:b/>
          <w:lang w:val="en-US"/>
        </w:rPr>
        <w:t>savollariga</w:t>
      </w:r>
      <w:proofErr w:type="spellEnd"/>
      <w:r w:rsidRPr="00310A9F">
        <w:rPr>
          <w:b/>
          <w:lang w:val="en-US"/>
        </w:rPr>
        <w:t xml:space="preserve"> </w:t>
      </w:r>
      <w:proofErr w:type="spellStart"/>
      <w:r w:rsidRPr="00310A9F">
        <w:rPr>
          <w:b/>
          <w:lang w:val="en-US"/>
        </w:rPr>
        <w:t>talabgorning</w:t>
      </w:r>
      <w:proofErr w:type="spellEnd"/>
      <w:r w:rsidRPr="00310A9F">
        <w:rPr>
          <w:b/>
          <w:lang w:val="en-US"/>
        </w:rPr>
        <w:t xml:space="preserve"> </w:t>
      </w:r>
      <w:proofErr w:type="spellStart"/>
      <w:r w:rsidRPr="00310A9F">
        <w:rPr>
          <w:b/>
          <w:lang w:val="en-US"/>
        </w:rPr>
        <w:t>javobini</w:t>
      </w:r>
      <w:proofErr w:type="spellEnd"/>
      <w:r w:rsidRPr="00310A9F">
        <w:rPr>
          <w:b/>
          <w:lang w:val="en-US"/>
        </w:rPr>
        <w:t xml:space="preserve"> </w:t>
      </w:r>
      <w:proofErr w:type="spellStart"/>
      <w:r w:rsidRPr="00310A9F">
        <w:rPr>
          <w:b/>
          <w:lang w:val="en-US"/>
        </w:rPr>
        <w:t>baholash</w:t>
      </w:r>
      <w:proofErr w:type="spellEnd"/>
      <w:r w:rsidRPr="00310A9F">
        <w:rPr>
          <w:b/>
          <w:lang w:val="en-US"/>
        </w:rPr>
        <w:t xml:space="preserve"> </w:t>
      </w:r>
      <w:proofErr w:type="spellStart"/>
      <w:r w:rsidRPr="00310A9F">
        <w:rPr>
          <w:b/>
          <w:lang w:val="en-US"/>
        </w:rPr>
        <w:t>mezon</w:t>
      </w:r>
      <w:r>
        <w:rPr>
          <w:b/>
          <w:lang w:val="en-US"/>
        </w:rPr>
        <w:t>lar</w:t>
      </w:r>
      <w:r w:rsidRPr="00310A9F">
        <w:rPr>
          <w:b/>
          <w:lang w:val="en-US"/>
        </w:rPr>
        <w:t>i</w:t>
      </w:r>
      <w:proofErr w:type="spellEnd"/>
    </w:p>
    <w:p w:rsidR="009572EF" w:rsidRPr="00310A9F" w:rsidRDefault="009572EF" w:rsidP="009572EF">
      <w:pPr>
        <w:jc w:val="center"/>
        <w:rPr>
          <w:lang w:val="en-US"/>
        </w:rPr>
      </w:pPr>
    </w:p>
    <w:tbl>
      <w:tblPr>
        <w:tblStyle w:val="a3"/>
        <w:tblW w:w="9464" w:type="dxa"/>
        <w:tblLook w:val="04A0" w:firstRow="1" w:lastRow="0" w:firstColumn="1" w:lastColumn="0" w:noHBand="0" w:noVBand="1"/>
      </w:tblPr>
      <w:tblGrid>
        <w:gridCol w:w="534"/>
        <w:gridCol w:w="7654"/>
        <w:gridCol w:w="1276"/>
      </w:tblGrid>
      <w:tr w:rsidR="009572EF" w:rsidRPr="00310A9F" w:rsidTr="00987073">
        <w:tc>
          <w:tcPr>
            <w:tcW w:w="534" w:type="dxa"/>
            <w:vAlign w:val="center"/>
          </w:tcPr>
          <w:p w:rsidR="009572EF" w:rsidRPr="00310A9F" w:rsidRDefault="009572EF" w:rsidP="009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310A9F">
              <w:rPr>
                <w:b/>
              </w:rPr>
              <w:t>№</w:t>
            </w:r>
          </w:p>
        </w:tc>
        <w:tc>
          <w:tcPr>
            <w:tcW w:w="7654" w:type="dxa"/>
            <w:vAlign w:val="center"/>
          </w:tcPr>
          <w:p w:rsidR="009572EF" w:rsidRPr="00310A9F" w:rsidRDefault="009572EF" w:rsidP="009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z-Latn-UZ"/>
              </w:rPr>
            </w:pPr>
            <w:r w:rsidRPr="00310A9F">
              <w:rPr>
                <w:b/>
                <w:lang w:val="uz-Latn-UZ"/>
              </w:rPr>
              <w:t>Baholash mezonlari</w:t>
            </w:r>
          </w:p>
        </w:tc>
        <w:tc>
          <w:tcPr>
            <w:tcW w:w="1276" w:type="dxa"/>
            <w:vAlign w:val="center"/>
          </w:tcPr>
          <w:p w:rsidR="009572EF" w:rsidRPr="00310A9F" w:rsidRDefault="009572EF" w:rsidP="00987073">
            <w:pPr>
              <w:jc w:val="center"/>
              <w:rPr>
                <w:b/>
                <w:lang w:val="en-US"/>
              </w:rPr>
            </w:pPr>
            <w:r w:rsidRPr="00310A9F">
              <w:rPr>
                <w:b/>
                <w:lang w:val="en-US"/>
              </w:rPr>
              <w:t>Ball</w:t>
            </w:r>
          </w:p>
        </w:tc>
      </w:tr>
      <w:tr w:rsidR="009572EF" w:rsidRPr="00310A9F" w:rsidTr="00987073">
        <w:tc>
          <w:tcPr>
            <w:tcW w:w="534" w:type="dxa"/>
            <w:vAlign w:val="center"/>
          </w:tcPr>
          <w:p w:rsidR="009572EF" w:rsidRPr="00310A9F" w:rsidRDefault="009572EF" w:rsidP="009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z-Latn-UZ"/>
              </w:rPr>
            </w:pPr>
            <w:r w:rsidRPr="00310A9F">
              <w:rPr>
                <w:lang w:val="uz-Latn-UZ"/>
              </w:rPr>
              <w:t>1</w:t>
            </w:r>
          </w:p>
        </w:tc>
        <w:tc>
          <w:tcPr>
            <w:tcW w:w="7654" w:type="dxa"/>
          </w:tcPr>
          <w:p w:rsidR="009572EF" w:rsidRPr="00310A9F" w:rsidRDefault="009572EF" w:rsidP="009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z-Latn-UZ"/>
              </w:rPr>
            </w:pPr>
            <w:r w:rsidRPr="00310A9F">
              <w:rPr>
                <w:lang w:val="uz-Cyrl-UZ"/>
              </w:rPr>
              <w:t>Beril</w:t>
            </w:r>
            <w:r w:rsidRPr="00310A9F">
              <w:rPr>
                <w:lang w:val="uz-Latn-UZ"/>
              </w:rPr>
              <w:t>gan savolga</w:t>
            </w:r>
            <w:r w:rsidRPr="00310A9F">
              <w:rPr>
                <w:lang w:val="uz-Cyrl-UZ"/>
              </w:rPr>
              <w:t xml:space="preserve"> talabgor tomonidan </w:t>
            </w:r>
            <w:r w:rsidRPr="00310A9F">
              <w:rPr>
                <w:lang w:val="uz-Latn-UZ"/>
              </w:rPr>
              <w:t>to‘liq, batafsil javob berilib, mavzu haqida ongli bilimlar to‘plami ko‘rsatilsa va mavzuning asosiy qoidalari ishonchli tarzda ochib berilganda. Javob adabiy tilda fan nuqtai nazaridan ifodalanganda. Bunda tushunchalarni ifodalashda, javob berish jarayonida talabgor tomonidan mustaqil ravishda tuzatilgan xatolar bo‘lishi mumkin.</w:t>
            </w:r>
          </w:p>
        </w:tc>
        <w:tc>
          <w:tcPr>
            <w:tcW w:w="1276" w:type="dxa"/>
            <w:vAlign w:val="center"/>
          </w:tcPr>
          <w:p w:rsidR="009572EF" w:rsidRPr="00310A9F" w:rsidRDefault="009572EF" w:rsidP="00987073">
            <w:pPr>
              <w:jc w:val="center"/>
              <w:rPr>
                <w:lang w:val="uz-Cyrl-UZ"/>
              </w:rPr>
            </w:pPr>
            <w:r w:rsidRPr="00310A9F">
              <w:rPr>
                <w:lang w:val="uz-Cyrl-UZ"/>
              </w:rPr>
              <w:t>22-25</w:t>
            </w:r>
          </w:p>
        </w:tc>
      </w:tr>
      <w:tr w:rsidR="009572EF" w:rsidRPr="00310A9F" w:rsidTr="00987073">
        <w:tc>
          <w:tcPr>
            <w:tcW w:w="534" w:type="dxa"/>
            <w:vAlign w:val="center"/>
          </w:tcPr>
          <w:p w:rsidR="009572EF" w:rsidRPr="00310A9F" w:rsidRDefault="009572EF" w:rsidP="00987073">
            <w:pPr>
              <w:pStyle w:val="HTML"/>
              <w:jc w:val="center"/>
              <w:rPr>
                <w:rStyle w:val="y2iqfc"/>
                <w:rFonts w:ascii="Times New Roman" w:eastAsia="Palatino Linotype" w:hAnsi="Times New Roman" w:cs="Times New Roman"/>
                <w:sz w:val="24"/>
                <w:szCs w:val="24"/>
                <w:lang w:val="uz-Latn-UZ"/>
              </w:rPr>
            </w:pPr>
            <w:r w:rsidRPr="00310A9F">
              <w:rPr>
                <w:rStyle w:val="y2iqfc"/>
                <w:rFonts w:ascii="Times New Roman" w:eastAsia="Palatino Linotype" w:hAnsi="Times New Roman" w:cs="Times New Roman"/>
                <w:sz w:val="24"/>
                <w:szCs w:val="24"/>
                <w:lang w:val="uz-Latn-UZ"/>
              </w:rPr>
              <w:t>2</w:t>
            </w:r>
          </w:p>
        </w:tc>
        <w:tc>
          <w:tcPr>
            <w:tcW w:w="7654" w:type="dxa"/>
          </w:tcPr>
          <w:p w:rsidR="009572EF" w:rsidRPr="00310A9F" w:rsidRDefault="009572EF" w:rsidP="00987073">
            <w:pPr>
              <w:pStyle w:val="HTML"/>
              <w:jc w:val="both"/>
              <w:rPr>
                <w:rFonts w:ascii="Times New Roman" w:hAnsi="Times New Roman" w:cs="Times New Roman"/>
                <w:sz w:val="24"/>
                <w:szCs w:val="24"/>
                <w:lang w:val="uz-Cyrl-UZ"/>
              </w:rPr>
            </w:pPr>
            <w:r w:rsidRPr="00310A9F">
              <w:rPr>
                <w:rStyle w:val="y2iqfc"/>
                <w:rFonts w:ascii="Times New Roman" w:eastAsia="Palatino Linotype" w:hAnsi="Times New Roman" w:cs="Times New Roman"/>
                <w:sz w:val="24"/>
                <w:szCs w:val="24"/>
                <w:lang w:val="uz-Latn-UZ"/>
              </w:rPr>
              <w:t xml:space="preserve">Savolga to‘liq, batafsil javob berilib, mavzuning asosiy qoidalari aniq ochib berilganda. </w:t>
            </w:r>
            <w:r w:rsidRPr="00310A9F">
              <w:rPr>
                <w:rFonts w:ascii="Times New Roman" w:hAnsi="Times New Roman" w:cs="Times New Roman"/>
                <w:sz w:val="24"/>
                <w:szCs w:val="24"/>
                <w:lang w:val="uz-Latn-UZ"/>
              </w:rPr>
              <w:t>Javob adabiy tilda fan nuqtai nazaridan ifodalanganda</w:t>
            </w:r>
            <w:r w:rsidRPr="00310A9F">
              <w:rPr>
                <w:rStyle w:val="y2iqfc"/>
                <w:rFonts w:ascii="Times New Roman" w:eastAsia="Palatino Linotype" w:hAnsi="Times New Roman" w:cs="Times New Roman"/>
                <w:sz w:val="24"/>
                <w:szCs w:val="24"/>
                <w:lang w:val="uz-Latn-UZ"/>
              </w:rPr>
              <w:t>. Javobda suhbat komissiyasi a’zolari yordamida talabgor tomonidan tuzatilgan kamchiliklar bo‘lishi mumkin</w:t>
            </w:r>
            <w:r w:rsidRPr="00310A9F">
              <w:rPr>
                <w:rFonts w:ascii="Times New Roman" w:hAnsi="Times New Roman" w:cs="Times New Roman"/>
                <w:sz w:val="24"/>
                <w:szCs w:val="24"/>
                <w:lang w:val="uz-Latn-UZ"/>
              </w:rPr>
              <w:t xml:space="preserve"> </w:t>
            </w:r>
            <w:r w:rsidRPr="00310A9F">
              <w:rPr>
                <w:rFonts w:ascii="Times New Roman" w:hAnsi="Times New Roman" w:cs="Times New Roman"/>
                <w:sz w:val="24"/>
                <w:szCs w:val="24"/>
                <w:lang w:val="uz-Cyrl-UZ"/>
              </w:rPr>
              <w:t>.</w:t>
            </w:r>
          </w:p>
        </w:tc>
        <w:tc>
          <w:tcPr>
            <w:tcW w:w="1276" w:type="dxa"/>
            <w:vAlign w:val="center"/>
          </w:tcPr>
          <w:p w:rsidR="009572EF" w:rsidRPr="00310A9F" w:rsidRDefault="009572EF" w:rsidP="00987073">
            <w:pPr>
              <w:jc w:val="center"/>
              <w:rPr>
                <w:lang w:val="uz-Cyrl-UZ"/>
              </w:rPr>
            </w:pPr>
            <w:r w:rsidRPr="00310A9F">
              <w:rPr>
                <w:lang w:val="uz-Cyrl-UZ"/>
              </w:rPr>
              <w:t>18-21</w:t>
            </w:r>
          </w:p>
        </w:tc>
      </w:tr>
      <w:tr w:rsidR="009572EF" w:rsidRPr="00310A9F" w:rsidTr="00987073">
        <w:tc>
          <w:tcPr>
            <w:tcW w:w="534" w:type="dxa"/>
            <w:vAlign w:val="center"/>
          </w:tcPr>
          <w:p w:rsidR="009572EF" w:rsidRPr="00310A9F" w:rsidRDefault="009572EF" w:rsidP="00987073">
            <w:pPr>
              <w:pStyle w:val="HTML"/>
              <w:jc w:val="center"/>
              <w:rPr>
                <w:rStyle w:val="y2iqfc"/>
                <w:rFonts w:ascii="Times New Roman" w:eastAsia="Palatino Linotype" w:hAnsi="Times New Roman" w:cs="Times New Roman"/>
                <w:sz w:val="24"/>
                <w:szCs w:val="24"/>
                <w:lang w:val="uz-Latn-UZ"/>
              </w:rPr>
            </w:pPr>
            <w:r w:rsidRPr="00310A9F">
              <w:rPr>
                <w:rStyle w:val="y2iqfc"/>
                <w:rFonts w:ascii="Times New Roman" w:eastAsia="Palatino Linotype" w:hAnsi="Times New Roman" w:cs="Times New Roman"/>
                <w:sz w:val="24"/>
                <w:szCs w:val="24"/>
                <w:lang w:val="uz-Latn-UZ"/>
              </w:rPr>
              <w:t>3</w:t>
            </w:r>
          </w:p>
        </w:tc>
        <w:tc>
          <w:tcPr>
            <w:tcW w:w="7654" w:type="dxa"/>
          </w:tcPr>
          <w:p w:rsidR="009572EF" w:rsidRPr="00310A9F" w:rsidRDefault="009572EF" w:rsidP="00987073">
            <w:pPr>
              <w:pStyle w:val="HTML"/>
              <w:jc w:val="both"/>
              <w:rPr>
                <w:rFonts w:ascii="Times New Roman" w:hAnsi="Times New Roman" w:cs="Times New Roman"/>
                <w:sz w:val="24"/>
                <w:szCs w:val="24"/>
                <w:lang w:val="uz-Latn-UZ"/>
              </w:rPr>
            </w:pPr>
            <w:r w:rsidRPr="00310A9F">
              <w:rPr>
                <w:rStyle w:val="y2iqfc"/>
                <w:rFonts w:ascii="Times New Roman" w:eastAsia="Palatino Linotype" w:hAnsi="Times New Roman" w:cs="Times New Roman"/>
                <w:sz w:val="24"/>
                <w:szCs w:val="24"/>
                <w:lang w:val="uz-Latn-UZ"/>
              </w:rPr>
              <w:t>Yetarlicha toʻliq va yetarlicha batafsil javob berilmaganda. Javobning mantiqiyligi va ketma-ketligi buzilganda. Tushunchalarni ochishda, atamalardan foydalanishda xatolarga yo‘l qo‘yilganda. Talabgor muhim va muhim bo‘lmagan xususiyatlarni, sabab-natija munosabatlarini mustaqil ravishda aniqlay olmaganda. U umumlashtirilgan bilimlarni konkretlashtirishda va ularning asosiy qoidalarini faqat o‘qituvchi yordamida misollar bilan isbotlashi mumkin. Talabgor nutqida tuzatishlar talab qilinganda.</w:t>
            </w:r>
          </w:p>
        </w:tc>
        <w:tc>
          <w:tcPr>
            <w:tcW w:w="1276" w:type="dxa"/>
            <w:vAlign w:val="center"/>
          </w:tcPr>
          <w:p w:rsidR="009572EF" w:rsidRPr="00310A9F" w:rsidRDefault="009572EF" w:rsidP="00987073">
            <w:pPr>
              <w:jc w:val="center"/>
              <w:rPr>
                <w:lang w:val="uz-Cyrl-UZ"/>
              </w:rPr>
            </w:pPr>
            <w:r w:rsidRPr="00310A9F">
              <w:rPr>
                <w:lang w:val="uz-Cyrl-UZ"/>
              </w:rPr>
              <w:t>14-17</w:t>
            </w:r>
          </w:p>
        </w:tc>
      </w:tr>
      <w:tr w:rsidR="009572EF" w:rsidRPr="00310A9F" w:rsidTr="00987073">
        <w:tc>
          <w:tcPr>
            <w:tcW w:w="534" w:type="dxa"/>
            <w:vAlign w:val="center"/>
          </w:tcPr>
          <w:p w:rsidR="009572EF" w:rsidRPr="00310A9F" w:rsidRDefault="009572EF" w:rsidP="00987073">
            <w:pPr>
              <w:pStyle w:val="HTML"/>
              <w:jc w:val="center"/>
              <w:rPr>
                <w:rStyle w:val="y2iqfc"/>
                <w:rFonts w:ascii="Times New Roman" w:eastAsia="Palatino Linotype" w:hAnsi="Times New Roman" w:cs="Times New Roman"/>
                <w:sz w:val="24"/>
                <w:szCs w:val="24"/>
                <w:lang w:val="uz-Latn-UZ"/>
              </w:rPr>
            </w:pPr>
            <w:r w:rsidRPr="00310A9F">
              <w:rPr>
                <w:rStyle w:val="y2iqfc"/>
                <w:rFonts w:ascii="Times New Roman" w:eastAsia="Palatino Linotype" w:hAnsi="Times New Roman" w:cs="Times New Roman"/>
                <w:sz w:val="24"/>
                <w:szCs w:val="24"/>
                <w:lang w:val="uz-Latn-UZ"/>
              </w:rPr>
              <w:t>4</w:t>
            </w:r>
          </w:p>
        </w:tc>
        <w:tc>
          <w:tcPr>
            <w:tcW w:w="7654" w:type="dxa"/>
          </w:tcPr>
          <w:p w:rsidR="009572EF" w:rsidRPr="00310A9F" w:rsidRDefault="009572EF" w:rsidP="00987073">
            <w:pPr>
              <w:pStyle w:val="HTML"/>
              <w:jc w:val="both"/>
              <w:rPr>
                <w:rFonts w:ascii="Times New Roman" w:hAnsi="Times New Roman" w:cs="Times New Roman"/>
                <w:sz w:val="24"/>
                <w:szCs w:val="24"/>
                <w:lang w:val="uz-Latn-UZ"/>
              </w:rPr>
            </w:pPr>
            <w:r w:rsidRPr="00310A9F">
              <w:rPr>
                <w:rStyle w:val="y2iqfc"/>
                <w:rFonts w:ascii="Times New Roman" w:eastAsia="Palatino Linotype" w:hAnsi="Times New Roman" w:cs="Times New Roman"/>
                <w:sz w:val="24"/>
                <w:szCs w:val="24"/>
                <w:lang w:val="uz-Latn-UZ"/>
              </w:rPr>
              <w:t>Talabgor savol mavzusi bo‘yicha ta’riflarda sezilarli xatolar bo‘lgan tarqoq bilimlarni ifodalovchi to‘liq bo‘lmagan javob berganda. Tarqoq yoki mantiqsiz fikrlarni keltirganda. Savoldagi asosiy tushuncha, nazariya va hodisalarni boshqalari bilan bog‘liqligini anglamaganda. Xulosa, konkretlashtirish va qoida hamda jarayonlarning isboti mavjud bo‘lmaganda. Saviyasi nisbatan past nutqqa ega bo‘lganda. Suhbat komissiyasi a’zolarining qo‘shimcha va aniqlovchi savollari talabgorning nafaqat berilgan savolga, balki mavzu b’yicha boshqa savollariga ham qoniqarsiz javob berganda.</w:t>
            </w:r>
          </w:p>
        </w:tc>
        <w:tc>
          <w:tcPr>
            <w:tcW w:w="1276" w:type="dxa"/>
            <w:vAlign w:val="center"/>
          </w:tcPr>
          <w:p w:rsidR="009572EF" w:rsidRPr="00310A9F" w:rsidRDefault="009572EF" w:rsidP="00987073">
            <w:pPr>
              <w:jc w:val="center"/>
              <w:rPr>
                <w:lang w:val="uz-Cyrl-UZ"/>
              </w:rPr>
            </w:pPr>
            <w:r w:rsidRPr="00310A9F">
              <w:rPr>
                <w:lang w:val="uz-Cyrl-UZ"/>
              </w:rPr>
              <w:t>0-13</w:t>
            </w:r>
          </w:p>
        </w:tc>
      </w:tr>
    </w:tbl>
    <w:p w:rsidR="009572EF" w:rsidRPr="00310A9F" w:rsidRDefault="009572EF" w:rsidP="009572EF">
      <w:pPr>
        <w:rPr>
          <w:lang w:val="uz-Cyrl-UZ"/>
        </w:rPr>
      </w:pPr>
    </w:p>
    <w:p w:rsidR="00D118C9" w:rsidRDefault="00D118C9">
      <w:bookmarkStart w:id="0" w:name="_GoBack"/>
      <w:bookmarkEnd w:id="0"/>
    </w:p>
    <w:sectPr w:rsidR="00D118C9" w:rsidSect="003A3C85">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C4"/>
    <w:rsid w:val="007158C4"/>
    <w:rsid w:val="009572EF"/>
    <w:rsid w:val="00D1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4972-0818-4908-A211-9E84FD9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5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72EF"/>
    <w:rPr>
      <w:rFonts w:ascii="Courier New" w:eastAsia="Times New Roman" w:hAnsi="Courier New" w:cs="Courier New"/>
      <w:sz w:val="20"/>
      <w:szCs w:val="20"/>
      <w:lang w:eastAsia="ru-RU"/>
    </w:rPr>
  </w:style>
  <w:style w:type="character" w:customStyle="1" w:styleId="y2iqfc">
    <w:name w:val="y2iqfc"/>
    <w:basedOn w:val="a0"/>
    <w:rsid w:val="009572EF"/>
  </w:style>
  <w:style w:type="character" w:styleId="a4">
    <w:name w:val="Strong"/>
    <w:basedOn w:val="a0"/>
    <w:uiPriority w:val="22"/>
    <w:qFormat/>
    <w:rsid w:val="00957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SPecialiST RePack</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2023-08-08T14:00:00Z</dcterms:created>
  <dcterms:modified xsi:type="dcterms:W3CDTF">2023-08-08T14:00:00Z</dcterms:modified>
</cp:coreProperties>
</file>